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A121C5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ab/>
      </w:r>
      <w:r w:rsidRPr="00A121C5">
        <w:rPr>
          <w:rFonts w:cstheme="minorHAnsi"/>
          <w:b/>
          <w:sz w:val="28"/>
          <w:szCs w:val="28"/>
        </w:rPr>
        <w:t>Výsledok výberového konania</w:t>
      </w:r>
      <w:r w:rsidRPr="00A121C5">
        <w:rPr>
          <w:rFonts w:cstheme="minorHAnsi"/>
          <w:b/>
          <w:sz w:val="28"/>
          <w:szCs w:val="28"/>
        </w:rPr>
        <w:tab/>
      </w:r>
    </w:p>
    <w:p w:rsidR="00724565" w:rsidRPr="00A121C5" w:rsidRDefault="00724565" w:rsidP="00724565">
      <w:pPr>
        <w:jc w:val="both"/>
        <w:rPr>
          <w:rFonts w:cstheme="minorHAnsi"/>
          <w:b/>
          <w:bCs/>
          <w:sz w:val="20"/>
          <w:szCs w:val="20"/>
        </w:rPr>
      </w:pPr>
      <w:r w:rsidRPr="00A121C5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62585" w:rsidRPr="00A121C5">
        <w:rPr>
          <w:rFonts w:cstheme="minorHAnsi"/>
          <w:b/>
          <w:bCs/>
          <w:sz w:val="20"/>
          <w:szCs w:val="20"/>
        </w:rPr>
        <w:t>15. 01. 2025</w:t>
      </w:r>
      <w:r w:rsidRPr="00A121C5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A121C5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A121C5">
        <w:rPr>
          <w:rFonts w:cstheme="minorHAnsi"/>
          <w:bCs/>
          <w:sz w:val="20"/>
          <w:szCs w:val="20"/>
        </w:rPr>
        <w:t xml:space="preserve"> </w:t>
      </w:r>
      <w:r w:rsidR="00DB4ED4" w:rsidRPr="00A121C5">
        <w:rPr>
          <w:rFonts w:cstheme="minorHAnsi"/>
          <w:bCs/>
          <w:sz w:val="20"/>
          <w:szCs w:val="20"/>
        </w:rPr>
        <w:t xml:space="preserve">na STU v Bratislave </w:t>
      </w:r>
      <w:r w:rsidRPr="00A121C5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A121C5">
        <w:rPr>
          <w:rFonts w:cstheme="minorHAnsi"/>
          <w:bCs/>
          <w:sz w:val="20"/>
          <w:szCs w:val="20"/>
        </w:rPr>
        <w:t xml:space="preserve">na funkčné miesto </w:t>
      </w:r>
      <w:r w:rsidR="00FA1EBB" w:rsidRPr="00A121C5">
        <w:rPr>
          <w:rFonts w:cstheme="minorHAnsi"/>
          <w:b/>
          <w:bCs/>
          <w:sz w:val="20"/>
          <w:szCs w:val="20"/>
        </w:rPr>
        <w:t>odborného asistenta na Ústav priemyselného inžinierstva a manažmentu</w:t>
      </w:r>
      <w:r w:rsidR="00A0625C" w:rsidRPr="00A121C5">
        <w:rPr>
          <w:rFonts w:ascii="Arial" w:hAnsi="Arial" w:cs="Arial"/>
          <w:sz w:val="20"/>
          <w:szCs w:val="20"/>
        </w:rPr>
        <w:t xml:space="preserve"> </w:t>
      </w:r>
      <w:r w:rsidR="00A0625C" w:rsidRPr="00A121C5">
        <w:rPr>
          <w:rFonts w:cstheme="minorHAnsi"/>
          <w:sz w:val="20"/>
          <w:szCs w:val="20"/>
        </w:rPr>
        <w:t>v oblasti inovačného manažmentu, manažmentu výroby a ďalších predmetov zameraných na podnikový manažment.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FA1EBB">
        <w:trPr>
          <w:trHeight w:val="983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FA1EBB" w:rsidRPr="00BC2E1D" w:rsidRDefault="00FA1EBB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BC2E1D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BC2E1D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</w:p>
          <w:p w:rsidR="00424538" w:rsidRPr="00A5188C" w:rsidRDefault="00CA7B06" w:rsidP="00FA1EBB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5188C">
              <w:rPr>
                <w:rFonts w:cstheme="minorHAnsi"/>
                <w:sz w:val="20"/>
                <w:szCs w:val="20"/>
              </w:rPr>
              <w:t>Mi</w:t>
            </w:r>
            <w:r w:rsidR="00FA1EBB">
              <w:rPr>
                <w:rFonts w:cstheme="minorHAnsi"/>
                <w:sz w:val="20"/>
                <w:szCs w:val="20"/>
              </w:rPr>
              <w:t>roslava</w:t>
            </w:r>
            <w:proofErr w:type="spellEnd"/>
            <w:r w:rsidR="00FA1E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1EBB">
              <w:rPr>
                <w:rFonts w:cstheme="minorHAnsi"/>
                <w:sz w:val="20"/>
                <w:szCs w:val="20"/>
              </w:rPr>
              <w:t>Mĺkva</w:t>
            </w:r>
            <w:proofErr w:type="spellEnd"/>
          </w:p>
        </w:tc>
      </w:tr>
      <w:tr w:rsidR="00CE5B34" w:rsidRPr="00A5188C" w:rsidTr="00266921">
        <w:trPr>
          <w:trHeight w:val="1581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A5188C" w:rsidRDefault="00CE5B34" w:rsidP="00CE5B3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FA1EBB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F371C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Jana Mesárošová</w:t>
            </w:r>
            <w:r w:rsidRPr="00FA1EB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 w:rsidR="00F371C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Horňáková</w:t>
            </w: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5B34" w:rsidRPr="00A5188C" w:rsidTr="00266921">
        <w:trPr>
          <w:trHeight w:val="477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F371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CA7B06"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  <w:r w:rsidR="00F371C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CE5B34" w:rsidRPr="00A5188C" w:rsidTr="00266921">
        <w:trPr>
          <w:trHeight w:val="631"/>
        </w:trPr>
        <w:tc>
          <w:tcPr>
            <w:tcW w:w="2972" w:type="dxa"/>
          </w:tcPr>
          <w:p w:rsidR="00CE5B34" w:rsidRPr="00A5188C" w:rsidRDefault="00CE5B34" w:rsidP="00CE5B34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E5B34" w:rsidRPr="00A5188C" w:rsidRDefault="00CE5B34" w:rsidP="00CE5B3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tbl>
            <w:tblPr>
              <w:tblStyle w:val="Normlnatabuka1"/>
              <w:tblpPr w:bottomFromText="160" w:vertAnchor="text" w:horzAnchor="page" w:tblpX="156" w:tblpY="126"/>
              <w:tblW w:w="5623" w:type="dxa"/>
              <w:tblInd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4197"/>
            </w:tblGrid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ind w:right="280"/>
                    <w:jc w:val="right"/>
                    <w:rPr>
                      <w:rFonts w:eastAsiaTheme="minorEastAsia" w:cstheme="minorEastAsia"/>
                      <w:color w:val="000000" w:themeColor="text1"/>
                    </w:rPr>
                  </w:pPr>
                  <w:r>
                    <w:rPr>
                      <w:rFonts w:eastAsiaTheme="minorEastAsia" w:cstheme="minorEastAsia"/>
                      <w:color w:val="000000" w:themeColor="text1"/>
                      <w:lang w:val="en-US" w:eastAsia="zh-CN" w:bidi="ar"/>
                    </w:rPr>
                    <w:t>2009 – 2013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SubSectionHeading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kern w:val="22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kern w:val="22"/>
                      <w:szCs w:val="20"/>
                      <w:lang w:val="sk-SK"/>
                    </w:rPr>
                    <w:t xml:space="preserve">3. stupeň VŠ vzdelania (PhD.)                                                                           </w:t>
                  </w:r>
                </w:p>
                <w:p w:rsidR="00F371C7" w:rsidRPr="00F371C7" w:rsidRDefault="00F371C7" w:rsidP="00F371C7">
                  <w:pPr>
                    <w:pStyle w:val="ECVSubSectionHeading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>Odbor: Materiálové inžinierstvo</w:t>
                  </w:r>
                </w:p>
              </w:tc>
            </w:tr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rPr>
                      <w:rFonts w:eastAsiaTheme="minorEastAsia" w:cstheme="minorEastAsia"/>
                      <w:color w:val="000000" w:themeColor="text1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OrganisationDetails"/>
                    <w:widowControl/>
                    <w:spacing w:before="0" w:after="0"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>Slovenská technická univerzita v Bratislave</w:t>
                  </w:r>
                </w:p>
                <w:p w:rsidR="00F371C7" w:rsidRPr="00F371C7" w:rsidRDefault="00F371C7" w:rsidP="00F371C7">
                  <w:pPr>
                    <w:pStyle w:val="ECVSectionBullet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 w:eastAsia="sk"/>
                    </w:rPr>
                    <w:t>Materiálovotechnologická fakulta so sídlom v Trnave</w:t>
                  </w: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 xml:space="preserve"> </w:t>
                  </w:r>
                </w:p>
              </w:tc>
            </w:tr>
            <w:tr w:rsidR="00F371C7" w:rsidTr="008F7514"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rPr>
                      <w:rFonts w:eastAsiaTheme="minorEastAsia" w:cstheme="minorEastAsia"/>
                      <w:color w:val="000000" w:themeColor="text1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SectionBullet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 xml:space="preserve">Dizertačná práca:  Analýza </w:t>
                  </w:r>
                  <w:proofErr w:type="spellStart"/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>solidifikačných</w:t>
                  </w:r>
                  <w:proofErr w:type="spellEnd"/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 xml:space="preserve"> </w:t>
                  </w:r>
                  <w:proofErr w:type="spellStart"/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>mikroštruktúr</w:t>
                  </w:r>
                  <w:proofErr w:type="spellEnd"/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 xml:space="preserve"> v rýchlo stuhnutých časticiach prášku z nástrojovej ocele a numerická simulácia podmienok ich vzniku </w:t>
                  </w:r>
                </w:p>
              </w:tc>
            </w:tr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ind w:right="280"/>
                    <w:jc w:val="right"/>
                    <w:rPr>
                      <w:rFonts w:eastAsiaTheme="minorEastAsia" w:cstheme="minorEastAsia"/>
                      <w:color w:val="000000" w:themeColor="text1"/>
                    </w:rPr>
                  </w:pPr>
                  <w:r>
                    <w:rPr>
                      <w:rFonts w:eastAsiaTheme="minorEastAsia" w:cstheme="minorEastAsia"/>
                      <w:color w:val="000000" w:themeColor="text1"/>
                      <w:lang w:val="en-US" w:eastAsia="zh-CN" w:bidi="ar"/>
                    </w:rPr>
                    <w:t>2007 – 2009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SubSectionHeading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kern w:val="22"/>
                      <w:szCs w:val="20"/>
                      <w:lang w:val="sk-SK"/>
                    </w:rPr>
                    <w:t xml:space="preserve">2. stupeň VŠ vzdelania </w:t>
                  </w: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 xml:space="preserve">(Ing.)                                                                          </w:t>
                  </w:r>
                </w:p>
                <w:p w:rsidR="00F371C7" w:rsidRPr="00F371C7" w:rsidRDefault="00F371C7" w:rsidP="00F371C7">
                  <w:pPr>
                    <w:pStyle w:val="ECVSubSectionHeading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>Odbor: Priemyselné manažérstvo</w:t>
                  </w:r>
                </w:p>
              </w:tc>
            </w:tr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rPr>
                      <w:rFonts w:eastAsiaTheme="minorEastAsia" w:cstheme="minorEastAsia"/>
                      <w:color w:val="000000" w:themeColor="text1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OrganisationDetails"/>
                    <w:widowControl/>
                    <w:spacing w:before="0" w:after="0"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>Slovenská technická univerzita v Bratislave</w:t>
                  </w:r>
                </w:p>
                <w:p w:rsidR="00F371C7" w:rsidRPr="00F371C7" w:rsidRDefault="00F371C7" w:rsidP="00F371C7">
                  <w:pPr>
                    <w:pStyle w:val="Eaoaeaa"/>
                    <w:widowControl/>
                    <w:rPr>
                      <w:rFonts w:asciiTheme="minorHAnsi" w:eastAsiaTheme="minorEastAsia" w:hAnsiTheme="minorHAnsi" w:cstheme="minorEastAsia"/>
                      <w:color w:val="000000" w:themeColor="text1"/>
                      <w:lang w:val="sk-SK" w:eastAsia="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lang w:val="sk-SK" w:eastAsia="sk"/>
                    </w:rPr>
                    <w:t>Materiálovotechnologická fakulta so sídlom v Trnave</w:t>
                  </w:r>
                </w:p>
              </w:tc>
            </w:tr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ind w:right="280"/>
                    <w:jc w:val="right"/>
                    <w:rPr>
                      <w:rFonts w:eastAsiaTheme="minorEastAsia" w:cstheme="minorEastAsia"/>
                      <w:color w:val="000000" w:themeColor="text1"/>
                    </w:rPr>
                  </w:pPr>
                  <w:r>
                    <w:rPr>
                      <w:rFonts w:eastAsiaTheme="minorEastAsia" w:cstheme="minorEastAsia"/>
                      <w:color w:val="000000" w:themeColor="text1"/>
                      <w:lang w:val="en-US" w:eastAsia="zh-CN" w:bidi="ar"/>
                    </w:rPr>
                    <w:t>2007 – 2009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SubSectionHeading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>Doplňujúce pedagogické štúdium</w:t>
                  </w:r>
                </w:p>
              </w:tc>
            </w:tr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rPr>
                      <w:rFonts w:eastAsiaTheme="minorEastAsia" w:cstheme="minorEastAsia"/>
                      <w:color w:val="000000" w:themeColor="text1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OrganisationDetails"/>
                    <w:widowControl/>
                    <w:spacing w:before="0" w:after="0"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  <w:t>Slovenská technická univerzita v Bratislave</w:t>
                  </w:r>
                </w:p>
                <w:p w:rsidR="00F371C7" w:rsidRPr="00F371C7" w:rsidRDefault="00F371C7" w:rsidP="00F371C7">
                  <w:pPr>
                    <w:pStyle w:val="ECVSectionBullet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 w:val="20"/>
                      <w:szCs w:val="20"/>
                      <w:lang w:val="sk-SK" w:eastAsia="sk"/>
                    </w:rPr>
                    <w:t>Materiálovotechnologická fakulta so sídlom v Trnave</w:t>
                  </w:r>
                </w:p>
              </w:tc>
            </w:tr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ind w:right="280"/>
                    <w:jc w:val="right"/>
                    <w:rPr>
                      <w:rFonts w:eastAsiaTheme="minorEastAsia" w:cstheme="minorEastAsia"/>
                      <w:color w:val="000000" w:themeColor="text1"/>
                    </w:rPr>
                  </w:pPr>
                  <w:r>
                    <w:rPr>
                      <w:rFonts w:eastAsiaTheme="minorEastAsia" w:cstheme="minorEastAsia"/>
                      <w:color w:val="000000" w:themeColor="text1"/>
                      <w:lang w:val="en-US" w:eastAsia="zh-CN" w:bidi="ar"/>
                    </w:rPr>
                    <w:t>2004 – 2007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CVSubSectionHeading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kern w:val="22"/>
                      <w:szCs w:val="20"/>
                      <w:lang w:val="sk-SK"/>
                    </w:rPr>
                    <w:t>1. stupeň VŠ vzdelania</w:t>
                  </w: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 xml:space="preserve"> (</w:t>
                  </w:r>
                  <w:proofErr w:type="spellStart"/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>Bc</w:t>
                  </w:r>
                  <w:proofErr w:type="spellEnd"/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 xml:space="preserve">)                                                                            </w:t>
                  </w:r>
                </w:p>
                <w:p w:rsidR="00F371C7" w:rsidRPr="00F371C7" w:rsidRDefault="00F371C7" w:rsidP="00F371C7">
                  <w:pPr>
                    <w:pStyle w:val="ECVSubSectionHeading"/>
                    <w:widowControl/>
                    <w:spacing w:line="240" w:lineRule="auto"/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szCs w:val="20"/>
                      <w:lang w:val="sk-SK"/>
                    </w:rPr>
                    <w:t>Odbor: Priemyselné inžinierstvo a manažment</w:t>
                  </w:r>
                </w:p>
              </w:tc>
            </w:tr>
            <w:tr w:rsidR="00F371C7" w:rsidTr="008F7514">
              <w:trPr>
                <w:cantSplit/>
              </w:trPr>
              <w:tc>
                <w:tcPr>
                  <w:tcW w:w="1426" w:type="dxa"/>
                  <w:shd w:val="clear" w:color="auto" w:fill="auto"/>
                </w:tcPr>
                <w:p w:rsidR="00F371C7" w:rsidRDefault="00F371C7" w:rsidP="00F371C7">
                  <w:pPr>
                    <w:widowControl w:val="0"/>
                    <w:suppressAutoHyphens/>
                    <w:rPr>
                      <w:rFonts w:eastAsiaTheme="minorEastAsia" w:cstheme="minorEastAsia"/>
                      <w:color w:val="000000" w:themeColor="text1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F371C7" w:rsidRPr="00F371C7" w:rsidRDefault="00F371C7" w:rsidP="00F371C7">
                  <w:pPr>
                    <w:pStyle w:val="Eaoaeaa"/>
                    <w:widowControl/>
                    <w:rPr>
                      <w:rFonts w:asciiTheme="minorHAnsi" w:eastAsiaTheme="minorEastAsia" w:hAnsiTheme="minorHAnsi" w:cstheme="minorEastAsia"/>
                      <w:color w:val="000000" w:themeColor="text1"/>
                      <w:lang w:val="sk-SK" w:eastAsia="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lang w:val="sk-SK" w:eastAsia="sk"/>
                    </w:rPr>
                    <w:t>Slovenská technická univerzita v Bratislave</w:t>
                  </w:r>
                </w:p>
                <w:p w:rsidR="00F371C7" w:rsidRPr="00F371C7" w:rsidRDefault="00F371C7" w:rsidP="00F371C7">
                  <w:pPr>
                    <w:pStyle w:val="Eaoaeaa"/>
                    <w:widowControl/>
                    <w:rPr>
                      <w:rFonts w:asciiTheme="minorHAnsi" w:eastAsiaTheme="minorEastAsia" w:hAnsiTheme="minorHAnsi" w:cstheme="minorEastAsia"/>
                      <w:color w:val="000000" w:themeColor="text1"/>
                      <w:lang w:val="sk-SK"/>
                    </w:rPr>
                  </w:pPr>
                  <w:r w:rsidRPr="00F371C7">
                    <w:rPr>
                      <w:rFonts w:asciiTheme="minorHAnsi" w:eastAsiaTheme="minorEastAsia" w:hAnsiTheme="minorHAnsi" w:cstheme="minorEastAsia"/>
                      <w:color w:val="000000" w:themeColor="text1"/>
                      <w:lang w:val="sk-SK" w:eastAsia="sk"/>
                    </w:rPr>
                    <w:t xml:space="preserve">Materiálovotechnologická fakulta so sídlom v Trnave </w:t>
                  </w:r>
                </w:p>
              </w:tc>
            </w:tr>
          </w:tbl>
          <w:p w:rsidR="00CE5B34" w:rsidRPr="00A5188C" w:rsidRDefault="00CE5B34" w:rsidP="00FA1EBB">
            <w:pPr>
              <w:pStyle w:val="TableParagraph"/>
              <w:ind w:left="108"/>
              <w:rPr>
                <w:rFonts w:cstheme="minorHAnsi"/>
                <w:sz w:val="20"/>
                <w:szCs w:val="20"/>
              </w:rPr>
            </w:pPr>
          </w:p>
        </w:tc>
      </w:tr>
      <w:tr w:rsidR="00C42D45" w:rsidRPr="00A5188C" w:rsidTr="005A4681">
        <w:trPr>
          <w:trHeight w:val="477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  <w:vAlign w:val="center"/>
          </w:tcPr>
          <w:p w:rsidR="00F371C7" w:rsidRDefault="00F371C7" w:rsidP="00F371C7">
            <w:pPr>
              <w:pStyle w:val="Normlnywebov"/>
              <w:suppressLineNumbers/>
              <w:suppressAutoHyphens/>
              <w:autoSpaceDN/>
              <w:spacing w:before="0" w:beforeAutospacing="0" w:after="0" w:afterAutospacing="0"/>
              <w:ind w:firstLineChars="50" w:firstLine="100"/>
              <w:rPr>
                <w:rFonts w:ascii="Calibri" w:hAnsi="Calibri" w:cs="Calibri"/>
                <w:color w:val="000000" w:themeColor="text1"/>
                <w:sz w:val="20"/>
                <w:szCs w:val="20"/>
                <w:lang w:val="sk"/>
              </w:rPr>
            </w:pP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Plant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Simulation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Basic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–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Tecnomatix</w:t>
            </w:r>
            <w:proofErr w:type="spellEnd"/>
          </w:p>
          <w:p w:rsidR="00F371C7" w:rsidRDefault="00F371C7" w:rsidP="00F371C7">
            <w:pPr>
              <w:pStyle w:val="Normlnywebov"/>
              <w:suppressLineNumbers/>
              <w:suppressAutoHyphens/>
              <w:autoSpaceDN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lang w:val="sk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 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Lean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Value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Stream Expert</w:t>
            </w:r>
          </w:p>
          <w:p w:rsidR="00F371C7" w:rsidRDefault="00F371C7" w:rsidP="00F371C7">
            <w:pPr>
              <w:pStyle w:val="Normlnywebov"/>
              <w:suppressLineNumbers/>
              <w:suppressAutoHyphens/>
              <w:autoSpaceDN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lang w:val="sk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  AIAG/VDA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Combined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FMEA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Awareness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Training</w:t>
            </w:r>
            <w:proofErr w:type="spellEnd"/>
          </w:p>
          <w:p w:rsidR="00F371C7" w:rsidRDefault="00F371C7" w:rsidP="00F371C7">
            <w:pPr>
              <w:widowControl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  Kompletní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průvodce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" w:eastAsia="zh-CN" w:bidi="ar"/>
              </w:rPr>
              <w:t>chatGPT</w:t>
            </w:r>
            <w:proofErr w:type="spellEnd"/>
          </w:p>
          <w:p w:rsidR="00C42D45" w:rsidRPr="00A5188C" w:rsidRDefault="00F371C7" w:rsidP="00F371C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eastAsia="SimSun"/>
                <w:color w:val="000000" w:themeColor="text1"/>
                <w:sz w:val="20"/>
                <w:szCs w:val="20"/>
                <w:lang w:val="sk" w:eastAsia="zh-CN" w:bidi="ar"/>
              </w:rPr>
              <w:t xml:space="preserve">   a iné.</w:t>
            </w:r>
          </w:p>
        </w:tc>
      </w:tr>
      <w:tr w:rsidR="00FA1EBB" w:rsidRPr="00A5188C" w:rsidTr="00165548">
        <w:trPr>
          <w:trHeight w:val="633"/>
        </w:trPr>
        <w:tc>
          <w:tcPr>
            <w:tcW w:w="2972" w:type="dxa"/>
          </w:tcPr>
          <w:p w:rsidR="00FA1EBB" w:rsidRPr="00A5188C" w:rsidRDefault="00FA1EBB" w:rsidP="00FA1EBB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FA1EBB" w:rsidRPr="00A0625C" w:rsidRDefault="00A0625C" w:rsidP="00A0625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2016</w:t>
            </w:r>
            <w:r w:rsidR="00FA1EBB" w:rsidRPr="00A0625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- súčasnosť – odborná asistentka MTF STU so sídlom v</w:t>
            </w:r>
            <w:r w:rsidR="00F371C7" w:rsidRPr="00A0625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="00FA1EBB" w:rsidRPr="00A0625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Trnave</w:t>
            </w:r>
          </w:p>
          <w:p w:rsidR="00F371C7" w:rsidRPr="00A0625C" w:rsidRDefault="00F371C7" w:rsidP="00A0625C">
            <w:pPr>
              <w:pStyle w:val="Normlnywebov"/>
              <w:suppressLineNumbers/>
              <w:tabs>
                <w:tab w:val="left" w:pos="140"/>
              </w:tabs>
              <w:suppressAutoHyphens/>
              <w:spacing w:before="0" w:beforeAutospacing="0" w:after="0" w:afterAutospacing="0" w:line="100" w:lineRule="atLeast"/>
              <w:ind w:left="108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>- vedenie prednášok a cvičení z predmetu Manažment výroby,</w:t>
            </w:r>
          </w:p>
          <w:p w:rsidR="00F371C7" w:rsidRPr="00A0625C" w:rsidRDefault="00F371C7" w:rsidP="00A0625C">
            <w:pPr>
              <w:pStyle w:val="Normlnywebov"/>
              <w:suppressLineNumbers/>
              <w:tabs>
                <w:tab w:val="left" w:pos="140"/>
              </w:tabs>
              <w:suppressAutoHyphens/>
              <w:spacing w:before="0" w:beforeAutospacing="0" w:after="0" w:afterAutospacing="0" w:line="100" w:lineRule="atLeast"/>
              <w:ind w:left="108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>- vedenie prednášok a cvičení z predmetu Inovačný manažment,</w:t>
            </w:r>
          </w:p>
          <w:p w:rsidR="00F371C7" w:rsidRPr="00A0625C" w:rsidRDefault="00F371C7" w:rsidP="00A0625C">
            <w:pPr>
              <w:pStyle w:val="Normlnywebov"/>
              <w:suppressLineNumbers/>
              <w:tabs>
                <w:tab w:val="left" w:pos="140"/>
              </w:tabs>
              <w:suppressAutoHyphens/>
              <w:spacing w:before="0" w:beforeAutospacing="0" w:after="0" w:afterAutospacing="0" w:line="100" w:lineRule="atLeast"/>
              <w:ind w:left="108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>- vedenie cvičení z predmetu Odborná prax,</w:t>
            </w:r>
          </w:p>
          <w:p w:rsidR="00F371C7" w:rsidRPr="00A0625C" w:rsidRDefault="00F371C7" w:rsidP="00A0625C">
            <w:pPr>
              <w:pStyle w:val="Normlnywebov"/>
              <w:suppressLineNumbers/>
              <w:suppressAutoHyphens/>
              <w:spacing w:before="0" w:beforeAutospacing="0" w:after="0" w:afterAutospacing="0" w:line="100" w:lineRule="atLeast"/>
              <w:ind w:left="108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 xml:space="preserve">- vedenie Praktických vysokoškolských cvičení v priemyselnom podniku Volkswagen Slovakia, </w:t>
            </w:r>
            <w:proofErr w:type="spellStart"/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>a.s</w:t>
            </w:r>
            <w:proofErr w:type="spellEnd"/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 xml:space="preserve">., a </w:t>
            </w:r>
            <w:proofErr w:type="spellStart"/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>Peikko</w:t>
            </w:r>
            <w:proofErr w:type="spellEnd"/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 xml:space="preserve"> Slovakia </w:t>
            </w:r>
            <w:proofErr w:type="spellStart"/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>s.r.o</w:t>
            </w:r>
            <w:proofErr w:type="spellEnd"/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t>.,</w:t>
            </w:r>
          </w:p>
          <w:p w:rsidR="00F371C7" w:rsidRPr="00A0625C" w:rsidRDefault="00F371C7" w:rsidP="00A0625C">
            <w:pPr>
              <w:pStyle w:val="Normlnywebov"/>
              <w:suppressLineNumbers/>
              <w:suppressAutoHyphens/>
              <w:spacing w:before="0" w:beforeAutospacing="0" w:after="0" w:afterAutospacing="0" w:line="100" w:lineRule="atLeast"/>
              <w:ind w:left="108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A0625C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sk-SK" w:eastAsia="zh-CN" w:bidi="ar"/>
              </w:rPr>
              <w:lastRenderedPageBreak/>
              <w:t>- vedenie cvičení z predmetu Základy ekonomiky a manažmentu.</w:t>
            </w:r>
          </w:p>
          <w:p w:rsidR="00F371C7" w:rsidRPr="00A0625C" w:rsidRDefault="00F371C7" w:rsidP="00A062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0625C">
              <w:rPr>
                <w:rFonts w:eastAsia="SimSun"/>
                <w:color w:val="000000" w:themeColor="text1"/>
                <w:sz w:val="20"/>
                <w:szCs w:val="20"/>
                <w:lang w:val="sk-SK" w:eastAsia="zh-CN" w:bidi="ar"/>
              </w:rPr>
              <w:t>- spolupráca na domácich a zahraničných projektoch a výskume.</w:t>
            </w:r>
          </w:p>
        </w:tc>
      </w:tr>
      <w:tr w:rsidR="00FA1EBB" w:rsidRPr="00A5188C" w:rsidTr="00165548">
        <w:trPr>
          <w:trHeight w:val="633"/>
        </w:trPr>
        <w:tc>
          <w:tcPr>
            <w:tcW w:w="2972" w:type="dxa"/>
          </w:tcPr>
          <w:p w:rsidR="00FA1EBB" w:rsidRPr="00A5188C" w:rsidRDefault="00FA1EBB" w:rsidP="00FA1EB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FA1EBB" w:rsidRPr="00A5188C" w:rsidRDefault="00FA1EBB" w:rsidP="00FA1EBB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A0625C" w:rsidRDefault="00A0625C" w:rsidP="00A0625C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Materiálo</w:t>
            </w:r>
            <w:r>
              <w:rPr>
                <w:sz w:val="20"/>
                <w:szCs w:val="20"/>
              </w:rPr>
              <w:t>votechnologická fakulta so sídlom v Trnave, STU</w:t>
            </w:r>
          </w:p>
          <w:p w:rsidR="00A0625C" w:rsidRDefault="00A0625C" w:rsidP="00A0625C">
            <w:pPr>
              <w:pStyle w:val="TableParagraph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2016 - súčasnosť  </w:t>
            </w:r>
            <w:r>
              <w:rPr>
                <w:rFonts w:eastAsia="SimSun"/>
                <w:sz w:val="20"/>
                <w:szCs w:val="20"/>
              </w:rPr>
              <w:t>INVM04_6I Inovačný manažment</w:t>
            </w:r>
          </w:p>
          <w:p w:rsidR="00A0625C" w:rsidRDefault="00A0625C" w:rsidP="00A0625C">
            <w:pPr>
              <w:pStyle w:val="TableParagraph"/>
              <w:ind w:left="0" w:firstLineChars="50" w:firstLine="100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2017 - súčasnosť  </w:t>
            </w:r>
            <w:r>
              <w:rPr>
                <w:rFonts w:eastAsia="SimSun"/>
                <w:sz w:val="20"/>
                <w:szCs w:val="20"/>
              </w:rPr>
              <w:t>MAVY04_6I  Manažment výroby</w:t>
            </w:r>
          </w:p>
          <w:p w:rsidR="00A0625C" w:rsidRDefault="00A0625C" w:rsidP="00A0625C">
            <w:pPr>
              <w:pStyle w:val="TableParagraph"/>
              <w:ind w:left="0" w:firstLineChars="50" w:firstLine="10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2018 - 2021 PRAX04_6I Odborná prax</w:t>
            </w:r>
          </w:p>
          <w:p w:rsidR="00A0625C" w:rsidRDefault="00A0625C" w:rsidP="00A0625C">
            <w:pPr>
              <w:pStyle w:val="TableParagraph"/>
              <w:ind w:left="0" w:firstLineChars="50" w:firstLine="10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2024 - ZEMA04_6B Základy ekonomiky a manažmentu</w:t>
            </w:r>
          </w:p>
          <w:p w:rsidR="00FA1EBB" w:rsidRPr="00CB3961" w:rsidRDefault="00FA1EBB" w:rsidP="00AA19D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42D45" w:rsidRPr="00A5188C" w:rsidTr="00F25358">
        <w:trPr>
          <w:trHeight w:val="633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C42D45" w:rsidRPr="00A5188C" w:rsidRDefault="00C42D45" w:rsidP="00C42D45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  <w:vAlign w:val="center"/>
          </w:tcPr>
          <w:p w:rsidR="00A0625C" w:rsidRPr="00A0625C" w:rsidRDefault="00A0625C" w:rsidP="00A0625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0625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Strojárstvo -</w:t>
            </w:r>
          </w:p>
          <w:p w:rsidR="00C42D45" w:rsidRPr="00A5188C" w:rsidRDefault="00A0625C" w:rsidP="00A0625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0625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Priemyselné manažérstvo</w:t>
            </w:r>
          </w:p>
        </w:tc>
      </w:tr>
      <w:tr w:rsidR="00A0625C" w:rsidRPr="00A5188C" w:rsidTr="005B5B2E">
        <w:trPr>
          <w:trHeight w:val="624"/>
        </w:trPr>
        <w:tc>
          <w:tcPr>
            <w:tcW w:w="2972" w:type="dxa"/>
            <w:vMerge w:val="restart"/>
          </w:tcPr>
          <w:p w:rsidR="00A0625C" w:rsidRPr="00A5188C" w:rsidRDefault="00A0625C" w:rsidP="00A0625C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A0625C" w:rsidRPr="00A5188C" w:rsidRDefault="00A0625C" w:rsidP="00A0625C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A0625C" w:rsidRPr="00A5188C" w:rsidRDefault="00A0625C" w:rsidP="00A0625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A0625C" w:rsidRDefault="00A0625C" w:rsidP="00A062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A0625C" w:rsidRPr="00A5188C" w:rsidTr="005B5B2E">
        <w:trPr>
          <w:trHeight w:val="624"/>
        </w:trPr>
        <w:tc>
          <w:tcPr>
            <w:tcW w:w="2972" w:type="dxa"/>
            <w:vMerge/>
          </w:tcPr>
          <w:p w:rsidR="00A0625C" w:rsidRPr="00A5188C" w:rsidRDefault="00A0625C" w:rsidP="00A0625C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A0625C" w:rsidRPr="00A5188C" w:rsidRDefault="00A0625C" w:rsidP="00A0625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A0625C" w:rsidRDefault="00A0625C" w:rsidP="00A062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0625C" w:rsidRPr="00A5188C" w:rsidTr="005B5B2E">
        <w:trPr>
          <w:trHeight w:val="630"/>
        </w:trPr>
        <w:tc>
          <w:tcPr>
            <w:tcW w:w="2972" w:type="dxa"/>
          </w:tcPr>
          <w:p w:rsidR="00A0625C" w:rsidRPr="00A5188C" w:rsidRDefault="00A0625C" w:rsidP="00A0625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A0625C" w:rsidRPr="00A5188C" w:rsidRDefault="00A0625C" w:rsidP="00A0625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A0625C" w:rsidRDefault="00A0625C" w:rsidP="00A062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A0625C" w:rsidRPr="00A5188C" w:rsidTr="005B5B2E">
        <w:trPr>
          <w:trHeight w:val="630"/>
        </w:trPr>
        <w:tc>
          <w:tcPr>
            <w:tcW w:w="2972" w:type="dxa"/>
          </w:tcPr>
          <w:p w:rsidR="00A0625C" w:rsidRPr="00A5188C" w:rsidRDefault="00A0625C" w:rsidP="00A0625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A0625C" w:rsidRPr="00A5188C" w:rsidRDefault="00A0625C" w:rsidP="00A0625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A0625C" w:rsidRDefault="00A0625C" w:rsidP="00A062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A121C5" w:rsidRDefault="00724565">
      <w:pPr>
        <w:rPr>
          <w:sz w:val="20"/>
          <w:szCs w:val="20"/>
        </w:rPr>
      </w:pPr>
      <w:r w:rsidRPr="00A121C5">
        <w:rPr>
          <w:sz w:val="20"/>
          <w:szCs w:val="20"/>
        </w:rPr>
        <w:t xml:space="preserve">Dňa </w:t>
      </w:r>
      <w:r w:rsidR="00997D15" w:rsidRPr="00A121C5">
        <w:rPr>
          <w:sz w:val="20"/>
          <w:szCs w:val="20"/>
        </w:rPr>
        <w:t>20. 01. 2025</w:t>
      </w:r>
      <w:r w:rsidRPr="00A121C5">
        <w:rPr>
          <w:sz w:val="20"/>
          <w:szCs w:val="20"/>
        </w:rPr>
        <w:tab/>
      </w:r>
    </w:p>
    <w:p w:rsidR="00724565" w:rsidRPr="00A121C5" w:rsidRDefault="00724565" w:rsidP="00724565">
      <w:pPr>
        <w:spacing w:after="0" w:line="240" w:lineRule="auto"/>
        <w:rPr>
          <w:sz w:val="20"/>
          <w:szCs w:val="20"/>
        </w:rPr>
      </w:pP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  <w:t>prof. Ing. Miloš Čambál, CSc.</w:t>
      </w:r>
      <w:r w:rsidR="00F82F5D" w:rsidRPr="00A121C5">
        <w:rPr>
          <w:sz w:val="20"/>
          <w:szCs w:val="20"/>
        </w:rPr>
        <w:t xml:space="preserve"> </w:t>
      </w:r>
    </w:p>
    <w:p w:rsidR="00724565" w:rsidRPr="00A121C5" w:rsidRDefault="00724565" w:rsidP="00724565">
      <w:pPr>
        <w:spacing w:after="0" w:line="240" w:lineRule="auto"/>
        <w:rPr>
          <w:sz w:val="20"/>
          <w:szCs w:val="20"/>
        </w:rPr>
      </w:pP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r w:rsidRPr="00A121C5">
        <w:rPr>
          <w:sz w:val="20"/>
          <w:szCs w:val="20"/>
        </w:rPr>
        <w:tab/>
      </w:r>
      <w:bookmarkStart w:id="0" w:name="_GoBack"/>
      <w:bookmarkEnd w:id="0"/>
      <w:r w:rsidRPr="00A121C5">
        <w:rPr>
          <w:sz w:val="20"/>
          <w:szCs w:val="20"/>
        </w:rPr>
        <w:tab/>
        <w:t>dekan fakulty</w:t>
      </w:r>
    </w:p>
    <w:sectPr w:rsidR="00724565" w:rsidRPr="00A121C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66921"/>
    <w:rsid w:val="002F274C"/>
    <w:rsid w:val="002F4F6A"/>
    <w:rsid w:val="0041161C"/>
    <w:rsid w:val="00424538"/>
    <w:rsid w:val="00431BFB"/>
    <w:rsid w:val="0048485F"/>
    <w:rsid w:val="005B5B2E"/>
    <w:rsid w:val="005E1CA7"/>
    <w:rsid w:val="0060798C"/>
    <w:rsid w:val="006169F4"/>
    <w:rsid w:val="00652640"/>
    <w:rsid w:val="00724565"/>
    <w:rsid w:val="007D3046"/>
    <w:rsid w:val="008969A3"/>
    <w:rsid w:val="008A1F10"/>
    <w:rsid w:val="00920109"/>
    <w:rsid w:val="009947F4"/>
    <w:rsid w:val="00997D15"/>
    <w:rsid w:val="00A0625C"/>
    <w:rsid w:val="00A121C5"/>
    <w:rsid w:val="00A5188C"/>
    <w:rsid w:val="00AA19D1"/>
    <w:rsid w:val="00AE121E"/>
    <w:rsid w:val="00B766CB"/>
    <w:rsid w:val="00C42D45"/>
    <w:rsid w:val="00C46A4C"/>
    <w:rsid w:val="00CA7B06"/>
    <w:rsid w:val="00CE5B34"/>
    <w:rsid w:val="00D653B2"/>
    <w:rsid w:val="00DB4ED4"/>
    <w:rsid w:val="00F07FBB"/>
    <w:rsid w:val="00F164BC"/>
    <w:rsid w:val="00F371C7"/>
    <w:rsid w:val="00F82F5D"/>
    <w:rsid w:val="00FA1EB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2025-01-20T13:32:00Z</cp:lastPrinted>
  <dcterms:created xsi:type="dcterms:W3CDTF">2025-01-20T13:32:00Z</dcterms:created>
  <dcterms:modified xsi:type="dcterms:W3CDTF">2025-01-21T13:03:00Z</dcterms:modified>
</cp:coreProperties>
</file>